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42361" w14:textId="77777777" w:rsidR="00602436" w:rsidRDefault="00B943AE">
      <w:pPr>
        <w:pStyle w:val="Standard"/>
        <w:jc w:val="both"/>
      </w:pPr>
      <w:bookmarkStart w:id="0" w:name="_GoBack"/>
      <w:bookmarkEnd w:id="0"/>
      <w:r>
        <w:rPr>
          <w:rStyle w:val="Fontepargpadro"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21E08035" wp14:editId="3CA3365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70837" cy="896761"/>
            <wp:effectExtent l="0" t="0" r="5463" b="0"/>
            <wp:wrapSquare wrapText="bothSides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837" cy="896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D6E485E" w14:textId="77777777" w:rsidR="00602436" w:rsidRDefault="00602436">
      <w:pPr>
        <w:pStyle w:val="Standard"/>
        <w:jc w:val="both"/>
      </w:pPr>
    </w:p>
    <w:p w14:paraId="2ADAFB11" w14:textId="77777777" w:rsidR="00602436" w:rsidRDefault="00602436">
      <w:pPr>
        <w:pStyle w:val="Normale"/>
        <w:widowControl/>
        <w:suppressLineNumbers/>
        <w:jc w:val="both"/>
        <w:rPr>
          <w:rFonts w:ascii="Amasis MT Pro Medium" w:hAnsi="Amasis MT Pro Medium"/>
          <w:b/>
          <w:bCs/>
          <w:color w:val="FF0000"/>
          <w:sz w:val="28"/>
          <w:szCs w:val="28"/>
          <w:lang w:val="es-ES" w:eastAsia="de-DE"/>
        </w:rPr>
      </w:pPr>
    </w:p>
    <w:p w14:paraId="2DDE8881" w14:textId="77777777" w:rsidR="00602436" w:rsidRDefault="00B943AE">
      <w:pPr>
        <w:pStyle w:val="Normale"/>
        <w:widowControl/>
        <w:suppressLineNumbers/>
        <w:jc w:val="both"/>
        <w:rPr>
          <w:rFonts w:ascii="Amasis MT Pro Medium" w:hAnsi="Amasis MT Pro Medium"/>
          <w:b/>
          <w:bCs/>
          <w:color w:val="FF0000"/>
          <w:sz w:val="28"/>
          <w:szCs w:val="28"/>
          <w:lang w:val="es-ES" w:eastAsia="de-DE"/>
        </w:rPr>
      </w:pPr>
      <w:r>
        <w:rPr>
          <w:rFonts w:ascii="Amasis MT Pro Medium" w:hAnsi="Amasis MT Pro Medium"/>
          <w:b/>
          <w:bCs/>
          <w:color w:val="FF0000"/>
          <w:sz w:val="28"/>
          <w:szCs w:val="28"/>
          <w:lang w:val="es-ES" w:eastAsia="de-DE"/>
        </w:rPr>
        <w:t>LOS JÓVENES DESCUBREN UNA NUEVA FORMA DE COMUNICARSE</w:t>
      </w:r>
    </w:p>
    <w:p w14:paraId="4D2781B9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FA86D45" w14:textId="77777777" w:rsidR="00602436" w:rsidRDefault="00B943AE">
      <w:pPr>
        <w:pStyle w:val="Normale"/>
        <w:widowControl/>
        <w:suppressLineNumbers/>
        <w:jc w:val="both"/>
      </w:pPr>
      <w:r>
        <w:rPr>
          <w:rStyle w:val="Carpredefinitoparagrafo"/>
          <w:rFonts w:ascii="Verdana" w:hAnsi="Verdana"/>
          <w:sz w:val="28"/>
          <w:szCs w:val="28"/>
          <w:lang w:val="es-ES" w:eastAsia="de-DE"/>
        </w:rPr>
        <w:t xml:space="preserve">              </w:t>
      </w:r>
      <w:r>
        <w:rPr>
          <w:rStyle w:val="Carpredefinitoparagrafo"/>
          <w:rFonts w:ascii="Verdana" w:hAnsi="Verdana"/>
          <w:b/>
          <w:bCs/>
          <w:color w:val="002060"/>
          <w:sz w:val="28"/>
          <w:szCs w:val="28"/>
          <w:lang w:val="es-ES" w:eastAsia="de-DE"/>
        </w:rPr>
        <w:t xml:space="preserve"> CÓDIGOS DIGITALES</w:t>
      </w:r>
    </w:p>
    <w:p w14:paraId="7B74F2D0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b/>
          <w:bCs/>
          <w:color w:val="002060"/>
          <w:sz w:val="28"/>
          <w:szCs w:val="28"/>
          <w:lang w:val="es-ES" w:eastAsia="de-DE"/>
        </w:rPr>
      </w:pPr>
      <w:r>
        <w:rPr>
          <w:rFonts w:ascii="Verdana" w:hAnsi="Verdana"/>
          <w:b/>
          <w:bCs/>
          <w:color w:val="002060"/>
          <w:sz w:val="28"/>
          <w:szCs w:val="28"/>
          <w:lang w:val="es-ES" w:eastAsia="de-DE"/>
        </w:rPr>
        <w:t xml:space="preserve">                 </w:t>
      </w:r>
    </w:p>
    <w:p w14:paraId="5094146A" w14:textId="77777777" w:rsidR="00602436" w:rsidRDefault="00B943AE">
      <w:pPr>
        <w:pStyle w:val="Normale"/>
        <w:widowControl/>
        <w:suppressLineNumbers/>
        <w:jc w:val="both"/>
      </w:pPr>
      <w:r>
        <w:rPr>
          <w:rStyle w:val="Carpredefinitoparagrafo"/>
          <w:rFonts w:ascii="Verdana" w:hAnsi="Verdana"/>
          <w:b/>
          <w:bCs/>
          <w:color w:val="002060"/>
          <w:sz w:val="28"/>
          <w:szCs w:val="28"/>
          <w:lang w:val="es-ES" w:eastAsia="de-DE"/>
        </w:rPr>
        <w:t xml:space="preserve">                  </w:t>
      </w:r>
      <w:r>
        <w:rPr>
          <w:rStyle w:val="Carpredefinitoparagrafo"/>
          <w:rFonts w:ascii="Verdana" w:hAnsi="Verdana"/>
          <w:b/>
          <w:bCs/>
          <w:color w:val="70AD47"/>
          <w:sz w:val="28"/>
          <w:szCs w:val="28"/>
          <w:lang w:val="es-ES" w:eastAsia="de-DE"/>
        </w:rPr>
        <w:t>EL LENGUAJE DEL ARTE</w:t>
      </w:r>
    </w:p>
    <w:p w14:paraId="5BE01447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b/>
          <w:bCs/>
          <w:color w:val="70AD47"/>
          <w:sz w:val="28"/>
          <w:szCs w:val="28"/>
          <w:lang w:val="es-ES" w:eastAsia="de-DE"/>
        </w:rPr>
      </w:pPr>
    </w:p>
    <w:p w14:paraId="3E76C59B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b/>
          <w:bCs/>
          <w:color w:val="5B9BD5"/>
          <w:sz w:val="28"/>
          <w:szCs w:val="28"/>
          <w:lang w:val="es-ES" w:eastAsia="de-DE"/>
        </w:rPr>
      </w:pPr>
      <w:r>
        <w:rPr>
          <w:rFonts w:ascii="Verdana" w:hAnsi="Verdana"/>
          <w:b/>
          <w:bCs/>
          <w:color w:val="5B9BD5"/>
          <w:sz w:val="28"/>
          <w:szCs w:val="28"/>
          <w:lang w:val="es-ES" w:eastAsia="de-DE"/>
        </w:rPr>
        <w:t xml:space="preserve">                     LA LÓGICA DE LOS JUEGOS</w:t>
      </w:r>
    </w:p>
    <w:p w14:paraId="6D878EAB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04791B47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35182EA9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BC2E840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color w:val="C00000"/>
          <w:sz w:val="28"/>
          <w:szCs w:val="28"/>
          <w:lang w:val="es-ES" w:eastAsia="de-DE"/>
        </w:rPr>
      </w:pPr>
      <w:r>
        <w:rPr>
          <w:rFonts w:ascii="Verdana" w:hAnsi="Verdana"/>
          <w:color w:val="C00000"/>
          <w:sz w:val="28"/>
          <w:szCs w:val="28"/>
          <w:lang w:val="es-ES" w:eastAsia="de-DE"/>
        </w:rPr>
        <w:t>¡Queridos amigos!</w:t>
      </w:r>
    </w:p>
    <w:p w14:paraId="7F54DDCD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5CDF9BB" w14:textId="77777777" w:rsidR="00602436" w:rsidRDefault="00B943AE">
      <w:pPr>
        <w:pStyle w:val="Normale"/>
        <w:widowControl/>
        <w:suppressLineNumbers/>
        <w:jc w:val="both"/>
      </w:pPr>
      <w:r>
        <w:rPr>
          <w:rStyle w:val="Carpredefinitoparagrafo"/>
          <w:rFonts w:ascii="Verdana" w:hAnsi="Verdana"/>
          <w:color w:val="FF0000"/>
          <w:sz w:val="28"/>
          <w:szCs w:val="28"/>
          <w:lang w:val="es-ES" w:eastAsia="de-DE"/>
        </w:rPr>
        <w:t>Le pregunto a dos adolescentes qué actividades online prefieren. Responden instantáneamente: escuchar música, hablar con amigos y jugar.</w:t>
      </w:r>
      <w:r>
        <w:rPr>
          <w:rStyle w:val="Carpredefinitoparagrafo"/>
          <w:rFonts w:ascii="Verdana" w:hAnsi="Verdana"/>
          <w:sz w:val="28"/>
          <w:szCs w:val="28"/>
          <w:lang w:val="es-ES" w:eastAsia="de-DE"/>
        </w:rPr>
        <w:t xml:space="preserve"> ¡Arte, interactividad y juegos! Algunas de las muchas actividades que forman parte de las 24 horas de la generación digital.</w:t>
      </w:r>
    </w:p>
    <w:p w14:paraId="79F2694D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63BE9E3D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Un niño de 9 años tiene en su mano un teléfono móvil, mira la pantalla y reconoce de inmediato los símbolos de la aplicación. Mueva rápidamente las manos, toca el logo de la aplicación, se mueve busca interactividad. Llama a su papá y empiezan a jugar.</w:t>
      </w:r>
    </w:p>
    <w:p w14:paraId="22C98053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Los juegos son parte del ejercicio mental y social de las nuevas generaciones. Los juegos facilitan la interactividad. Están asociados con la dinámica del cerebro humano. El cerebro tiene su propia lógica, su propia forma de reconocer y codificar símbolos y generar lenguaje cognitivo y emocional.</w:t>
      </w:r>
    </w:p>
    <w:p w14:paraId="274CB4CA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44C06B8B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Un adolescente de 12 años toma una foto de un partido de fútbol, la edita, le pone un título, inserta música de fondo y la envía a cientos de amigos online. Ellos ponen "me gusta", la comparten, la "socializan". El mundo interactivo ofrece oportunidades para la creación y la participación activa.</w:t>
      </w:r>
    </w:p>
    <w:p w14:paraId="24EA9C3F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5778F42D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 xml:space="preserve">Un joven de diecisiete años es parte de un grupo musical. Toca la guitarra con los otros músicos. Ellos componen algunas canciones, hacen arreglos, cantan, graban y las comparten en </w:t>
      </w:r>
      <w:r>
        <w:rPr>
          <w:rFonts w:ascii="Verdana" w:hAnsi="Verdana"/>
          <w:sz w:val="28"/>
          <w:szCs w:val="28"/>
          <w:lang w:val="es-ES" w:eastAsia="de-DE"/>
        </w:rPr>
        <w:lastRenderedPageBreak/>
        <w:t>Internet y en las redes sociales. Artes como la música, la danza, el teatro, la poesía y la pintura forman parte de la gramática juvenil de hoy.</w:t>
      </w:r>
    </w:p>
    <w:p w14:paraId="563C53A3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636186A1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Los niños y jóvenes se comunican a través de sus códigos digitales asociados a las artes. La música tiene su propio código, su lenguaje y dinámica, que favorecen la expresión de los sentimientos e ideas de las personas. El teatro tiene su propia lógica, sus pasos, los ritmos de los actores, los tiempos y momentos de interactividad y colaboración en el trabajo grupal.</w:t>
      </w:r>
    </w:p>
    <w:p w14:paraId="2F76B657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83DF800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Todas las artes son lenguajes y gramáticas que permiten a las personas expresar lo que tienen dentro y su cosmovisión. Además, las artes facilitan la inmersión del individuo en el universo de la belleza, la imaginación creativa, la participación activa y la alegría de crear y compartir.</w:t>
      </w:r>
    </w:p>
    <w:p w14:paraId="7C601461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0CFABB29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 xml:space="preserve">Evangelizar el hábitat digital requiere una mirada muy cuidadosa a la fuerza de las artes y la forma en que los jóvenes se organizan, expresan sus valores y su compromiso con los demás, con sus grupos y comunidades. </w:t>
      </w:r>
    </w:p>
    <w:p w14:paraId="09EAD95B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11A13A26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Cuando un grupo de jóvenes tiene una experiencia de oración litúrgica, compromiso comunitario y servicio a los demás, y expresa este compromiso a través del arte, este grupo hace que su voz resuene con originalidad y con un llamado comunicativo en las redes sociales e Internet. El arte se convierte así en un canal de comunicación para expresar la vida de los jóvenes de una forma atractiva y creativa.</w:t>
      </w:r>
    </w:p>
    <w:p w14:paraId="71407F38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525D891E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El juego se expande cada vez más. Los juegos educativos forman parte de las relaciones humanas: estar juntos, crear desafíos, fomentar el debate educativo, expresar sentimientos, estar con los demás. Los juegos tocan la imaginación y los sentimientos, implican y crean redes de relaciones humanas, fomentan momentos de entrega y colaboración.</w:t>
      </w:r>
    </w:p>
    <w:p w14:paraId="696234D0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791057F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Como parte de su inventiva educativa, Don Bosco utilizó las artes, especialmente la música y el teatro, para educar a sus jóvenes en Valdocco. Sabía, por experiencia, que las artes y el deporte promueven el desarrollo humano, abren a los jóvenes a la creatividad, facilitan las relaciones humanas y contribuyen significativamente a la vida educativa y espiritual.</w:t>
      </w:r>
    </w:p>
    <w:p w14:paraId="118CD599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62EAF6D1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6B0B9E85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37CD320D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5605FF8D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3F29B477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3DFD16D1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316124BF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6CB7E89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77C25516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>¡Educar y evangelizar el hábitat digital a través de las artes y los juegos es una gran oportunidad para todos los que creemos en la juventud!</w:t>
      </w:r>
    </w:p>
    <w:p w14:paraId="75472EFD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46E2A5CF" w14:textId="77777777" w:rsidR="00602436" w:rsidRDefault="00B943AE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  <w:r>
        <w:rPr>
          <w:rFonts w:ascii="Verdana" w:hAnsi="Verdana"/>
          <w:sz w:val="28"/>
          <w:szCs w:val="28"/>
          <w:lang w:val="es-ES" w:eastAsia="de-DE"/>
        </w:rPr>
        <w:t xml:space="preserve">                                                           Roma, 24 Junio 2021</w:t>
      </w:r>
    </w:p>
    <w:p w14:paraId="7FFFC073" w14:textId="77777777" w:rsidR="00602436" w:rsidRDefault="00602436">
      <w:pPr>
        <w:pStyle w:val="Normale"/>
        <w:widowControl/>
        <w:suppressLineNumbers/>
        <w:jc w:val="both"/>
        <w:rPr>
          <w:rFonts w:ascii="Verdana" w:hAnsi="Verdana"/>
          <w:sz w:val="28"/>
          <w:szCs w:val="28"/>
          <w:lang w:val="es-ES" w:eastAsia="de-DE"/>
        </w:rPr>
      </w:pPr>
    </w:p>
    <w:p w14:paraId="1186FC35" w14:textId="77777777" w:rsidR="00602436" w:rsidRDefault="00602436">
      <w:pPr>
        <w:pStyle w:val="Normale"/>
        <w:widowControl/>
        <w:suppressLineNumbers/>
        <w:jc w:val="both"/>
      </w:pPr>
    </w:p>
    <w:p w14:paraId="02863D9F" w14:textId="77777777" w:rsidR="00602436" w:rsidRDefault="00B943AE">
      <w:pPr>
        <w:pStyle w:val="Normale"/>
        <w:widowControl/>
        <w:suppressLineNumbers/>
        <w:jc w:val="both"/>
      </w:pPr>
      <w:r>
        <w:rPr>
          <w:rStyle w:val="Carpredefinitoparagrafo"/>
          <w:rFonts w:ascii="Verdana" w:hAnsi="Verdana"/>
          <w:sz w:val="28"/>
          <w:szCs w:val="28"/>
          <w:lang w:eastAsia="de-DE"/>
        </w:rPr>
        <w:t xml:space="preserve">        P. Gildasio Mendes</w:t>
      </w:r>
    </w:p>
    <w:p w14:paraId="72F6B15C" w14:textId="77777777" w:rsidR="00602436" w:rsidRDefault="00B943AE">
      <w:pPr>
        <w:pStyle w:val="Normale"/>
        <w:widowControl/>
        <w:suppressLineNumbers/>
        <w:spacing w:after="160"/>
        <w:jc w:val="both"/>
      </w:pPr>
      <w:r>
        <w:rPr>
          <w:rStyle w:val="Carpredefinitoparagrafo"/>
          <w:rFonts w:ascii="Cambria" w:hAnsi="Cambria"/>
          <w:sz w:val="28"/>
          <w:szCs w:val="28"/>
          <w:lang w:val="es-ES" w:eastAsia="de-DE"/>
        </w:rPr>
        <w:t xml:space="preserve">  Consejero General para  la Comunicación Social</w:t>
      </w:r>
    </w:p>
    <w:p w14:paraId="7CFF03E4" w14:textId="77777777" w:rsidR="00602436" w:rsidRDefault="00602436">
      <w:pPr>
        <w:pStyle w:val="TableContents"/>
      </w:pPr>
    </w:p>
    <w:p w14:paraId="5E454121" w14:textId="77777777" w:rsidR="00602436" w:rsidRDefault="00602436">
      <w:pPr>
        <w:pStyle w:val="TableContents"/>
      </w:pPr>
    </w:p>
    <w:sectPr w:rsidR="00602436">
      <w:footerReference w:type="default" r:id="rId7"/>
      <w:headerReference w:type="first" r:id="rId8"/>
      <w:footerReference w:type="first" r:id="rId9"/>
      <w:pgSz w:w="11906" w:h="16838"/>
      <w:pgMar w:top="625" w:right="1417" w:bottom="720" w:left="1417" w:header="568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BC170" w14:textId="77777777" w:rsidR="006A508C" w:rsidRDefault="006A508C">
      <w:r>
        <w:separator/>
      </w:r>
    </w:p>
  </w:endnote>
  <w:endnote w:type="continuationSeparator" w:id="0">
    <w:p w14:paraId="074B4370" w14:textId="77777777" w:rsidR="006A508C" w:rsidRDefault="006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asis MT Pro Medium">
    <w:altName w:val="Century"/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FFB4" w14:textId="77777777" w:rsidR="009F1BA8" w:rsidRDefault="006A508C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0CBE" w14:textId="77777777" w:rsidR="009F1BA8" w:rsidRDefault="00B943AE">
    <w:pPr>
      <w:pStyle w:val="Rodap"/>
      <w:jc w:val="center"/>
    </w:pPr>
    <w:r>
      <w:rPr>
        <w:rStyle w:val="Fontepargpadro"/>
        <w:rFonts w:ascii="Garamond" w:hAnsi="Garamond" w:cs="Arial"/>
        <w:color w:val="663300"/>
        <w:sz w:val="18"/>
        <w:szCs w:val="22"/>
        <w:lang w:val="it-IT"/>
      </w:rPr>
      <w:t xml:space="preserve">Sede Centrale Salesiana, Via Marsala, 42 - 00185 Roma – Italia - Tel. 06.4927221 - </w:t>
    </w:r>
    <w:hyperlink r:id="rId1" w:history="1">
      <w:r>
        <w:rPr>
          <w:rStyle w:val="Fontepargpadro"/>
          <w:rFonts w:ascii="Garamond" w:hAnsi="Garamond"/>
          <w:sz w:val="16"/>
          <w:lang w:val="it-IT"/>
        </w:rPr>
        <w:t>www.sdb.org</w:t>
      </w:r>
    </w:hyperlink>
    <w:r>
      <w:rPr>
        <w:rStyle w:val="Fontepargpadro"/>
        <w:sz w:val="16"/>
      </w:rPr>
      <w:t xml:space="preserve"> </w:t>
    </w:r>
    <w:r>
      <w:rPr>
        <w:rStyle w:val="Fontepargpadro"/>
        <w:color w:val="002060"/>
        <w:sz w:val="16"/>
      </w:rPr>
      <w:t>– gmendes@sdb.org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CA959" w14:textId="77777777" w:rsidR="006A508C" w:rsidRDefault="006A508C">
      <w:r>
        <w:rPr>
          <w:color w:val="000000"/>
        </w:rPr>
        <w:separator/>
      </w:r>
    </w:p>
  </w:footnote>
  <w:footnote w:type="continuationSeparator" w:id="0">
    <w:p w14:paraId="7E1CE1AC" w14:textId="77777777" w:rsidR="006A508C" w:rsidRDefault="006A50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98CE" w14:textId="77777777" w:rsidR="009F1BA8" w:rsidRDefault="006A508C">
    <w:pPr>
      <w:pStyle w:val="Standard"/>
    </w:pPr>
  </w:p>
  <w:p w14:paraId="7DF5050D" w14:textId="77777777" w:rsidR="009F1BA8" w:rsidRDefault="006A508C">
    <w:pPr>
      <w:pStyle w:val="Standard"/>
      <w:jc w:val="center"/>
      <w:rPr>
        <w:rFonts w:ascii="Garamond" w:hAnsi="Garamond" w:cs="Arial"/>
        <w:b/>
        <w:i/>
        <w:iCs/>
        <w:color w:val="663300"/>
        <w:sz w:val="18"/>
        <w:szCs w:val="22"/>
        <w:lang w:val="es-MX"/>
      </w:rPr>
    </w:pPr>
  </w:p>
  <w:p w14:paraId="3BCFCB6B" w14:textId="77777777" w:rsidR="009F1BA8" w:rsidRDefault="006A508C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MX"/>
      </w:rPr>
    </w:pPr>
  </w:p>
  <w:p w14:paraId="2DBB9FEA" w14:textId="77777777" w:rsidR="009F1BA8" w:rsidRDefault="006A508C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MX"/>
      </w:rPr>
    </w:pPr>
  </w:p>
  <w:p w14:paraId="11F297E5" w14:textId="77777777" w:rsidR="009F1BA8" w:rsidRDefault="00B943AE">
    <w:pPr>
      <w:pStyle w:val="Standard"/>
      <w:jc w:val="right"/>
      <w:rPr>
        <w:rFonts w:ascii="Garamond" w:hAnsi="Garamond" w:cs="Arial"/>
        <w:b/>
        <w:i/>
        <w:iCs/>
        <w:color w:val="663300"/>
        <w:sz w:val="24"/>
        <w:szCs w:val="22"/>
        <w:lang w:val="pt-BR"/>
      </w:rPr>
    </w:pPr>
    <w:r>
      <w:rPr>
        <w:rFonts w:ascii="Garamond" w:hAnsi="Garamond" w:cs="Arial"/>
        <w:b/>
        <w:i/>
        <w:iCs/>
        <w:color w:val="663300"/>
        <w:sz w:val="24"/>
        <w:szCs w:val="22"/>
        <w:lang w:val="pt-BR"/>
      </w:rPr>
      <w:t>Padre Gildasio Dos Santos Mendes sdb</w:t>
    </w:r>
  </w:p>
  <w:p w14:paraId="22B9F566" w14:textId="77777777" w:rsidR="009F1BA8" w:rsidRDefault="00B943AE">
    <w:pPr>
      <w:pStyle w:val="Standard"/>
      <w:jc w:val="right"/>
      <w:rPr>
        <w:i/>
        <w:iCs/>
        <w:color w:val="663300"/>
        <w:sz w:val="24"/>
        <w:szCs w:val="22"/>
        <w:lang w:val="en-AU"/>
      </w:rPr>
    </w:pPr>
    <w:r>
      <w:rPr>
        <w:i/>
        <w:iCs/>
        <w:color w:val="663300"/>
        <w:sz w:val="24"/>
        <w:szCs w:val="22"/>
        <w:lang w:val="en-AU"/>
      </w:rPr>
      <w:t>Consejero General para la Comunicación Social</w:t>
    </w:r>
  </w:p>
  <w:p w14:paraId="53080F4A" w14:textId="77777777" w:rsidR="009F1BA8" w:rsidRDefault="006A50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36"/>
    <w:rsid w:val="00437FAA"/>
    <w:rsid w:val="00602436"/>
    <w:rsid w:val="00670EB5"/>
    <w:rsid w:val="006A508C"/>
    <w:rsid w:val="00B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FCF9D"/>
  <w15:docId w15:val="{F3C3DBD4-16B8-471F-9EE9-4CC157E8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Ttulo1">
    <w:name w:val="Título 1"/>
    <w:basedOn w:val="Standard"/>
    <w:next w:val="Textbody"/>
    <w:pPr>
      <w:keepNext/>
      <w:outlineLvl w:val="0"/>
    </w:pPr>
    <w:rPr>
      <w:rFonts w:ascii="Arial" w:hAnsi="Arial"/>
      <w:b/>
      <w:sz w:val="24"/>
    </w:rPr>
  </w:style>
  <w:style w:type="paragraph" w:customStyle="1" w:styleId="Ttulo2">
    <w:name w:val="Título 2"/>
    <w:basedOn w:val="Standard"/>
    <w:next w:val="Textbody"/>
    <w:pPr>
      <w:keepNext/>
      <w:outlineLvl w:val="1"/>
    </w:pPr>
    <w:rPr>
      <w:rFonts w:ascii="Arial" w:hAnsi="Arial"/>
      <w:b/>
    </w:rPr>
  </w:style>
  <w:style w:type="paragraph" w:customStyle="1" w:styleId="Ttulo3">
    <w:name w:val="Título 3"/>
    <w:basedOn w:val="Standard"/>
    <w:next w:val="Textbody"/>
    <w:pPr>
      <w:keepNext/>
      <w:outlineLvl w:val="2"/>
    </w:pPr>
    <w:rPr>
      <w:rFonts w:ascii="Arial" w:hAnsi="Arial"/>
      <w:b/>
      <w:i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widowControl/>
      <w:suppressAutoHyphens/>
    </w:pPr>
    <w:rPr>
      <w:lang w:val="de-DE"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</w:rPr>
  </w:style>
  <w:style w:type="paragraph" w:customStyle="1" w:styleId="Lista">
    <w:name w:val="Lista"/>
    <w:basedOn w:val="Textbody"/>
    <w:rPr>
      <w:rFonts w:cs="Lohit Devanagari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rpodetexto2">
    <w:name w:val="Corpo de texto 2"/>
    <w:basedOn w:val="Standard"/>
    <w:pPr>
      <w:jc w:val="both"/>
    </w:pPr>
    <w:rPr>
      <w:rFonts w:ascii="Arial" w:hAnsi="Arial"/>
    </w:rPr>
  </w:style>
  <w:style w:type="paragraph" w:customStyle="1" w:styleId="Corpodetexto3">
    <w:name w:val="Corpo de texto 3"/>
    <w:basedOn w:val="Standard"/>
    <w:rPr>
      <w:rFonts w:ascii="Arial" w:hAnsi="Arial"/>
      <w:b/>
    </w:rPr>
  </w:style>
  <w:style w:type="paragraph" w:customStyle="1" w:styleId="HeaderandFooter">
    <w:name w:val="Header and Footer"/>
    <w:basedOn w:val="Standard"/>
  </w:style>
  <w:style w:type="paragraph" w:customStyle="1" w:styleId="Rodap">
    <w:name w:val="Rodapé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extodecomentrio">
    <w:name w:val="Texto de comentário"/>
    <w:basedOn w:val="Standard"/>
  </w:style>
  <w:style w:type="paragraph" w:customStyle="1" w:styleId="Assuntodocomentrio">
    <w:name w:val="Assunto do comentário"/>
    <w:basedOn w:val="Textodecomentrio"/>
    <w:rPr>
      <w:b/>
      <w:bCs/>
    </w:rPr>
  </w:style>
  <w:style w:type="paragraph" w:customStyle="1" w:styleId="Textodenotaderodap">
    <w:name w:val="Texto de nota de rodapé"/>
    <w:basedOn w:val="Standard"/>
  </w:style>
  <w:style w:type="paragraph" w:customStyle="1" w:styleId="PargrafodaLista">
    <w:name w:val="Parágrafo da Lista"/>
    <w:basedOn w:val="Standard"/>
    <w:pPr>
      <w:ind w:left="720"/>
    </w:pPr>
  </w:style>
  <w:style w:type="paragraph" w:customStyle="1" w:styleId="Cabealho">
    <w:name w:val="Cabeçalho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rmaleWeb">
    <w:name w:val="Normale (Web)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SemEspaamento">
    <w:name w:val="Sem Espaçamento"/>
    <w:pPr>
      <w:widowControl/>
      <w:suppressAutoHyphens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merodepgina">
    <w:name w:val="Número de página"/>
    <w:basedOn w:val="Fontepargpadro"/>
  </w:style>
  <w:style w:type="character" w:customStyle="1" w:styleId="PidipaginaCarattere">
    <w:name w:val="Piè di pagina Carattere"/>
    <w:basedOn w:val="Fontepargpadro"/>
  </w:style>
  <w:style w:type="character" w:customStyle="1" w:styleId="Refdecomentrio">
    <w:name w:val="Ref. de comentário"/>
    <w:basedOn w:val="Fontepargpadro"/>
    <w:rPr>
      <w:sz w:val="16"/>
      <w:szCs w:val="16"/>
    </w:rPr>
  </w:style>
  <w:style w:type="character" w:customStyle="1" w:styleId="TestocommentoCarattere">
    <w:name w:val="Testo commento Carattere"/>
    <w:basedOn w:val="Fontepargpadr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TestonotaapidipaginaCarattere">
    <w:name w:val="Testo nota a piè di pagina Carattere"/>
    <w:basedOn w:val="Fontepargpadro"/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IntestazioneCarattere">
    <w:name w:val="Intestazione Carattere"/>
    <w:basedOn w:val="Fontepargpadro"/>
    <w:rPr>
      <w:lang w:val="de-DE" w:eastAsia="de-DE"/>
    </w:rPr>
  </w:style>
  <w:style w:type="character" w:customStyle="1" w:styleId="nfase">
    <w:name w:val="Ênfase"/>
    <w:basedOn w:val="Fontepargpadro"/>
    <w:rPr>
      <w:i/>
      <w:iCs/>
    </w:rPr>
  </w:style>
  <w:style w:type="character" w:customStyle="1" w:styleId="apple-converted-space">
    <w:name w:val="apple-converted-space"/>
    <w:basedOn w:val="Fontepargpadro"/>
  </w:style>
  <w:style w:type="character" w:customStyle="1" w:styleId="StrongEmphasis">
    <w:name w:val="Strong Emphasis"/>
    <w:basedOn w:val="Fontepargpadro"/>
    <w:rPr>
      <w:b/>
      <w:bCs/>
    </w:rPr>
  </w:style>
  <w:style w:type="character" w:customStyle="1" w:styleId="Titolo2Carattere">
    <w:name w:val="Titolo 2 Carattere"/>
    <w:basedOn w:val="Fontepargpadro"/>
    <w:rPr>
      <w:rFonts w:ascii="Arial" w:hAnsi="Arial"/>
      <w:b/>
      <w:lang w:val="de-DE" w:eastAsia="de-DE"/>
    </w:rPr>
  </w:style>
  <w:style w:type="paragraph" w:customStyle="1" w:styleId="Pidipagina">
    <w:name w:val="Piè di pagina"/>
    <w:basedOn w:val="Normale"/>
    <w:pPr>
      <w:tabs>
        <w:tab w:val="center" w:pos="4252"/>
        <w:tab w:val="right" w:pos="8504"/>
      </w:tabs>
    </w:pPr>
  </w:style>
  <w:style w:type="character" w:customStyle="1" w:styleId="PidipaginaCarattere1">
    <w:name w:val="Piè di pagina Carattere1"/>
    <w:basedOn w:val="Carpredefinitoparagrafo"/>
  </w:style>
  <w:style w:type="paragraph" w:customStyle="1" w:styleId="Intestazione">
    <w:name w:val="Intestazione"/>
    <w:basedOn w:val="Normale"/>
    <w:pPr>
      <w:tabs>
        <w:tab w:val="center" w:pos="4252"/>
        <w:tab w:val="right" w:pos="8504"/>
      </w:tabs>
    </w:pPr>
  </w:style>
  <w:style w:type="character" w:customStyle="1" w:styleId="IntestazioneCarattere1">
    <w:name w:val="Intestazione Carattere1"/>
    <w:basedOn w:val="Carpredefinitoparagra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Macintosh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Salesians Archive</cp:lastModifiedBy>
  <cp:revision>2</cp:revision>
  <cp:lastPrinted>2021-06-25T08:39:00Z</cp:lastPrinted>
  <dcterms:created xsi:type="dcterms:W3CDTF">2021-09-30T02:49:00Z</dcterms:created>
  <dcterms:modified xsi:type="dcterms:W3CDTF">2021-09-30T02:49:00Z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